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2" w:type="dxa"/>
        <w:jc w:val="center"/>
        <w:tblLayout w:type="fixed"/>
        <w:tblLook w:val="04A0" w:firstRow="1" w:lastRow="0" w:firstColumn="1" w:lastColumn="0" w:noHBand="0" w:noVBand="1"/>
      </w:tblPr>
      <w:tblGrid>
        <w:gridCol w:w="9492"/>
      </w:tblGrid>
      <w:tr w:rsidR="00BD2354" w:rsidRPr="00BD2354" w14:paraId="64A3BBEA" w14:textId="77777777" w:rsidTr="00BD2354">
        <w:trPr>
          <w:jc w:val="center"/>
        </w:trPr>
        <w:tc>
          <w:tcPr>
            <w:tcW w:w="9492" w:type="dxa"/>
            <w:vAlign w:val="center"/>
          </w:tcPr>
          <w:tbl>
            <w:tblPr>
              <w:tblW w:w="11587" w:type="dxa"/>
              <w:jc w:val="center"/>
              <w:tblLayout w:type="fixed"/>
              <w:tblLook w:val="04A0" w:firstRow="1" w:lastRow="0" w:firstColumn="1" w:lastColumn="0" w:noHBand="0" w:noVBand="1"/>
            </w:tblPr>
            <w:tblGrid>
              <w:gridCol w:w="3451"/>
              <w:gridCol w:w="2550"/>
              <w:gridCol w:w="2412"/>
              <w:gridCol w:w="3174"/>
            </w:tblGrid>
            <w:tr w:rsidR="00BD2354" w:rsidRPr="00BD2354" w14:paraId="18FDF6AD" w14:textId="77777777" w:rsidTr="0095483A">
              <w:trPr>
                <w:trHeight w:val="1"/>
                <w:jc w:val="center"/>
              </w:trPr>
              <w:tc>
                <w:tcPr>
                  <w:tcW w:w="3451" w:type="dxa"/>
                  <w:shd w:val="clear" w:color="auto" w:fill="FFFFFF"/>
                  <w:vAlign w:val="center"/>
                  <w:hideMark/>
                </w:tcPr>
                <w:p w14:paraId="062DDCD2" w14:textId="435AC7B4" w:rsidR="00BD2354" w:rsidRPr="00BD2354" w:rsidRDefault="00BD2354" w:rsidP="00BD2354">
                  <w:pPr>
                    <w:ind w:left="-284"/>
                    <w:jc w:val="center"/>
                    <w:rPr>
                      <w:rFonts w:ascii="Aptos" w:hAnsi="Aptos"/>
                      <w:b/>
                      <w:sz w:val="32"/>
                      <w:szCs w:val="32"/>
                    </w:rPr>
                  </w:pPr>
                  <w:r w:rsidRPr="00BD2354">
                    <w:rPr>
                      <w:rFonts w:ascii="Aptos" w:hAnsi="Aptos"/>
                      <w:b/>
                      <w:noProof/>
                      <w:sz w:val="32"/>
                      <w:szCs w:val="32"/>
                    </w:rPr>
                    <w:drawing>
                      <wp:anchor distT="0" distB="0" distL="114300" distR="114300" simplePos="0" relativeHeight="251660288" behindDoc="0" locked="0" layoutInCell="1" allowOverlap="1" wp14:anchorId="62BE319E" wp14:editId="70107B65">
                        <wp:simplePos x="0" y="0"/>
                        <wp:positionH relativeFrom="column">
                          <wp:posOffset>711835</wp:posOffset>
                        </wp:positionH>
                        <wp:positionV relativeFrom="paragraph">
                          <wp:posOffset>-71755</wp:posOffset>
                        </wp:positionV>
                        <wp:extent cx="741045" cy="800100"/>
                        <wp:effectExtent l="0" t="0" r="1905" b="0"/>
                        <wp:wrapNone/>
                        <wp:docPr id="2107801005" name="Εικόνα 4" descr="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1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104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50" w:type="dxa"/>
                  <w:shd w:val="clear" w:color="auto" w:fill="FFFFFF"/>
                  <w:vAlign w:val="center"/>
                  <w:hideMark/>
                </w:tcPr>
                <w:p w14:paraId="287D0BC7" w14:textId="4ADB0288" w:rsidR="00BD2354" w:rsidRPr="00BD2354" w:rsidRDefault="00BD2354" w:rsidP="00BD2354">
                  <w:pPr>
                    <w:ind w:left="-284"/>
                    <w:jc w:val="center"/>
                    <w:rPr>
                      <w:rFonts w:ascii="Aptos" w:hAnsi="Aptos"/>
                      <w:b/>
                      <w:sz w:val="32"/>
                      <w:szCs w:val="32"/>
                    </w:rPr>
                  </w:pPr>
                  <w:r w:rsidRPr="00BD2354">
                    <w:rPr>
                      <w:rFonts w:ascii="Aptos" w:hAnsi="Aptos"/>
                      <w:b/>
                      <w:noProof/>
                      <w:sz w:val="32"/>
                      <w:szCs w:val="32"/>
                    </w:rPr>
                    <w:drawing>
                      <wp:anchor distT="0" distB="0" distL="114300" distR="114300" simplePos="0" relativeHeight="251662336" behindDoc="0" locked="0" layoutInCell="1" allowOverlap="1" wp14:anchorId="35825B35" wp14:editId="6C8F2713">
                        <wp:simplePos x="0" y="0"/>
                        <wp:positionH relativeFrom="column">
                          <wp:posOffset>-741045</wp:posOffset>
                        </wp:positionH>
                        <wp:positionV relativeFrom="paragraph">
                          <wp:posOffset>116840</wp:posOffset>
                        </wp:positionV>
                        <wp:extent cx="2054225" cy="793115"/>
                        <wp:effectExtent l="0" t="0" r="3175" b="6985"/>
                        <wp:wrapNone/>
                        <wp:docPr id="149931765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4225" cy="7931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12" w:type="dxa"/>
                  <w:shd w:val="clear" w:color="auto" w:fill="FFFFFF"/>
                  <w:vAlign w:val="center"/>
                </w:tcPr>
                <w:p w14:paraId="6039A091" w14:textId="7F063AA3" w:rsidR="00BD2354" w:rsidRPr="00BD2354" w:rsidRDefault="00BD2354" w:rsidP="00BD2354">
                  <w:pPr>
                    <w:ind w:left="-284"/>
                    <w:jc w:val="center"/>
                    <w:rPr>
                      <w:rFonts w:ascii="Aptos" w:hAnsi="Aptos"/>
                      <w:b/>
                      <w:sz w:val="32"/>
                      <w:szCs w:val="32"/>
                    </w:rPr>
                  </w:pPr>
                  <w:r w:rsidRPr="00BD2354">
                    <w:rPr>
                      <w:rFonts w:ascii="Aptos" w:hAnsi="Aptos"/>
                      <w:b/>
                      <w:noProof/>
                      <w:sz w:val="32"/>
                      <w:szCs w:val="32"/>
                    </w:rPr>
                    <w:drawing>
                      <wp:anchor distT="0" distB="0" distL="114300" distR="114300" simplePos="0" relativeHeight="251661312" behindDoc="0" locked="0" layoutInCell="1" allowOverlap="1" wp14:anchorId="64F1CDCE" wp14:editId="16A625D6">
                        <wp:simplePos x="0" y="0"/>
                        <wp:positionH relativeFrom="column">
                          <wp:posOffset>280035</wp:posOffset>
                        </wp:positionH>
                        <wp:positionV relativeFrom="paragraph">
                          <wp:posOffset>69215</wp:posOffset>
                        </wp:positionV>
                        <wp:extent cx="1314450" cy="1233170"/>
                        <wp:effectExtent l="0" t="0" r="0" b="5080"/>
                        <wp:wrapNone/>
                        <wp:docPr id="1929910960" name="Εικόνα 2"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 Εικόνα" descr="downloa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0" cy="1233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D1BB43" w14:textId="77777777" w:rsidR="00BD2354" w:rsidRPr="00BD2354" w:rsidRDefault="00BD2354" w:rsidP="00BD2354">
                  <w:pPr>
                    <w:ind w:left="-284"/>
                    <w:jc w:val="center"/>
                    <w:rPr>
                      <w:rFonts w:ascii="Aptos" w:hAnsi="Aptos"/>
                      <w:b/>
                      <w:sz w:val="32"/>
                      <w:szCs w:val="32"/>
                    </w:rPr>
                  </w:pPr>
                </w:p>
              </w:tc>
              <w:tc>
                <w:tcPr>
                  <w:tcW w:w="3174" w:type="dxa"/>
                  <w:shd w:val="clear" w:color="auto" w:fill="FFFFFF"/>
                  <w:vAlign w:val="center"/>
                  <w:hideMark/>
                </w:tcPr>
                <w:p w14:paraId="1209B1FD" w14:textId="7D97517E" w:rsidR="00BD2354" w:rsidRPr="00BD2354" w:rsidRDefault="00BD2354" w:rsidP="00BD2354">
                  <w:pPr>
                    <w:ind w:left="-284"/>
                    <w:jc w:val="center"/>
                    <w:rPr>
                      <w:rFonts w:ascii="Aptos" w:hAnsi="Aptos"/>
                      <w:b/>
                      <w:sz w:val="32"/>
                      <w:szCs w:val="32"/>
                    </w:rPr>
                  </w:pPr>
                  <w:r w:rsidRPr="00BD2354">
                    <w:rPr>
                      <w:rFonts w:ascii="Aptos" w:hAnsi="Aptos"/>
                      <w:b/>
                      <w:noProof/>
                      <w:sz w:val="32"/>
                      <w:szCs w:val="32"/>
                    </w:rPr>
                    <w:drawing>
                      <wp:anchor distT="0" distB="0" distL="114300" distR="114300" simplePos="0" relativeHeight="251659264" behindDoc="0" locked="0" layoutInCell="1" allowOverlap="1" wp14:anchorId="2B71319A" wp14:editId="39794D4D">
                        <wp:simplePos x="0" y="0"/>
                        <wp:positionH relativeFrom="column">
                          <wp:posOffset>144780</wp:posOffset>
                        </wp:positionH>
                        <wp:positionV relativeFrom="paragraph">
                          <wp:posOffset>97790</wp:posOffset>
                        </wp:positionV>
                        <wp:extent cx="1247775" cy="836295"/>
                        <wp:effectExtent l="0" t="0" r="9525" b="1905"/>
                        <wp:wrapNone/>
                        <wp:docPr id="26155395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8362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D2354" w:rsidRPr="00BD2354" w14:paraId="22BC88CA" w14:textId="77777777" w:rsidTr="0095483A">
              <w:trPr>
                <w:trHeight w:val="1"/>
                <w:jc w:val="center"/>
              </w:trPr>
              <w:tc>
                <w:tcPr>
                  <w:tcW w:w="11587" w:type="dxa"/>
                  <w:gridSpan w:val="4"/>
                  <w:shd w:val="clear" w:color="auto" w:fill="FFFFFF"/>
                  <w:vAlign w:val="center"/>
                </w:tcPr>
                <w:p w14:paraId="61ED146D" w14:textId="77777777" w:rsidR="00BD2354" w:rsidRPr="00BD2354" w:rsidRDefault="00BD2354" w:rsidP="00BD2354">
                  <w:pPr>
                    <w:ind w:left="-284"/>
                    <w:jc w:val="center"/>
                    <w:rPr>
                      <w:rFonts w:ascii="Aptos" w:hAnsi="Aptos"/>
                      <w:b/>
                      <w:sz w:val="32"/>
                      <w:szCs w:val="32"/>
                    </w:rPr>
                  </w:pPr>
                </w:p>
                <w:p w14:paraId="5F3581AC" w14:textId="77777777" w:rsidR="00BD2354" w:rsidRPr="00BD2354" w:rsidRDefault="00BD2354" w:rsidP="00BD2354">
                  <w:pPr>
                    <w:ind w:left="-284"/>
                    <w:rPr>
                      <w:rFonts w:ascii="Aptos" w:hAnsi="Aptos"/>
                      <w:b/>
                      <w:sz w:val="32"/>
                      <w:szCs w:val="32"/>
                    </w:rPr>
                  </w:pPr>
                  <w:r w:rsidRPr="00BD2354">
                    <w:rPr>
                      <w:rFonts w:ascii="Aptos" w:hAnsi="Aptos"/>
                      <w:b/>
                      <w:sz w:val="32"/>
                      <w:szCs w:val="32"/>
                    </w:rPr>
                    <w:t xml:space="preserve">      </w:t>
                  </w:r>
                </w:p>
              </w:tc>
            </w:tr>
          </w:tbl>
          <w:p w14:paraId="35D8770A" w14:textId="77777777" w:rsidR="00BD2354" w:rsidRDefault="00BD2354" w:rsidP="00BD2354">
            <w:pPr>
              <w:ind w:left="-284"/>
              <w:jc w:val="center"/>
              <w:rPr>
                <w:rFonts w:ascii="Aptos" w:hAnsi="Aptos"/>
                <w:b/>
                <w:sz w:val="32"/>
                <w:szCs w:val="32"/>
              </w:rPr>
            </w:pPr>
            <w:r w:rsidRPr="00BD2354">
              <w:rPr>
                <w:rFonts w:ascii="Aptos" w:hAnsi="Aptos"/>
                <w:b/>
                <w:sz w:val="32"/>
                <w:szCs w:val="32"/>
              </w:rPr>
              <w:t xml:space="preserve">Επιχειρησιακό Πρόγραμμα «Υποδομές Μεταφορών, Περιβάλλον και Αειφόρος Ανάπτυξη» </w:t>
            </w:r>
          </w:p>
          <w:p w14:paraId="6DC9753E" w14:textId="4E904A5E" w:rsidR="00BD2354" w:rsidRPr="00BD2354" w:rsidRDefault="00BD2354" w:rsidP="00BD2354">
            <w:pPr>
              <w:ind w:left="-284"/>
              <w:jc w:val="center"/>
              <w:rPr>
                <w:rFonts w:ascii="Aptos" w:hAnsi="Aptos"/>
                <w:b/>
                <w:sz w:val="32"/>
                <w:szCs w:val="32"/>
              </w:rPr>
            </w:pPr>
            <w:r w:rsidRPr="00BD2354">
              <w:rPr>
                <w:rFonts w:ascii="Aptos" w:hAnsi="Aptos"/>
              </w:rPr>
              <w:fldChar w:fldCharType="begin"/>
            </w:r>
            <w:r w:rsidRPr="00BD2354">
              <w:rPr>
                <w:rFonts w:ascii="Aptos" w:hAnsi="Aptos"/>
              </w:rPr>
              <w:instrText xml:space="preserve"> INCLUDEPICTURE "https://encrypted-tbn0.gstatic.com/images?q=tbn:ANd9GcQhn45uj12_b3mGDAQYDSTcgeI2K2udw1nf5QeLvrSA&amp;s" \* MERGEFORMATINET </w:instrText>
            </w:r>
            <w:r w:rsidRPr="00BD2354">
              <w:rPr>
                <w:rFonts w:ascii="Aptos" w:hAnsi="Aptos"/>
              </w:rPr>
              <w:fldChar w:fldCharType="separate"/>
            </w:r>
            <w:r w:rsidRPr="00BD2354">
              <w:rPr>
                <w:rFonts w:ascii="Aptos" w:hAnsi="Aptos"/>
              </w:rPr>
              <w:pict w14:anchorId="20185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ΠΡΟΫΠΟΛΟΓΙΣΜΟΣ" style="width:321.65pt;height:87.9pt">
                  <v:imagedata r:id="rId8" r:href="rId9"/>
                </v:shape>
              </w:pict>
            </w:r>
            <w:r w:rsidRPr="00BD2354">
              <w:rPr>
                <w:rFonts w:ascii="Aptos" w:hAnsi="Aptos"/>
              </w:rPr>
              <w:fldChar w:fldCharType="end"/>
            </w:r>
          </w:p>
        </w:tc>
      </w:tr>
    </w:tbl>
    <w:p w14:paraId="61B57375" w14:textId="10B2B281" w:rsidR="00A3776C" w:rsidRDefault="00A3776C" w:rsidP="00BD2354">
      <w:pPr>
        <w:ind w:left="-284"/>
        <w:jc w:val="center"/>
        <w:rPr>
          <w:rFonts w:ascii="Aptos" w:hAnsi="Aptos"/>
          <w:b/>
          <w:bCs/>
          <w:sz w:val="28"/>
          <w:szCs w:val="28"/>
        </w:rPr>
      </w:pPr>
      <w:r w:rsidRPr="00BD2354">
        <w:rPr>
          <w:rFonts w:ascii="Aptos" w:hAnsi="Aptos"/>
          <w:b/>
          <w:bCs/>
          <w:sz w:val="28"/>
          <w:szCs w:val="28"/>
        </w:rPr>
        <w:t>Πράξη: «ΠΡΟΜΗΘΕΙΑ ΚΑΙ ΕΓΚΑΤΑΣΤΑΣΗ ΣΥΣΤΗΜΑΤΩΝ ΠΑΡΑΚΟΛΟΥΘΗΣΗΣ ΥΔΡΟΛΗΨΙΩΝ ΔΕΥΑ ΙΩΑΝΝΙΝΩΝ».</w:t>
      </w:r>
    </w:p>
    <w:p w14:paraId="65434A9E" w14:textId="52E69809" w:rsidR="00BD2354" w:rsidRPr="00BD2354" w:rsidRDefault="00BD2354" w:rsidP="00BD2354">
      <w:pPr>
        <w:ind w:left="-284"/>
        <w:jc w:val="center"/>
        <w:rPr>
          <w:rFonts w:ascii="Aptos" w:hAnsi="Aptos"/>
          <w:b/>
          <w:bCs/>
          <w:sz w:val="28"/>
          <w:szCs w:val="28"/>
        </w:rPr>
      </w:pPr>
      <w:r>
        <w:rPr>
          <w:rFonts w:ascii="Aptos" w:hAnsi="Aptos"/>
          <w:b/>
          <w:bCs/>
          <w:sz w:val="28"/>
          <w:szCs w:val="28"/>
        </w:rPr>
        <w:t xml:space="preserve">Κωδικός </w:t>
      </w:r>
      <w:r>
        <w:rPr>
          <w:rFonts w:ascii="Aptos" w:hAnsi="Aptos"/>
          <w:b/>
          <w:bCs/>
          <w:sz w:val="28"/>
          <w:szCs w:val="28"/>
          <w:lang w:val="en-US"/>
        </w:rPr>
        <w:t>MIS</w:t>
      </w:r>
      <w:r w:rsidRPr="00BD2354">
        <w:rPr>
          <w:rFonts w:ascii="Aptos" w:hAnsi="Aptos"/>
          <w:b/>
          <w:bCs/>
          <w:sz w:val="28"/>
          <w:szCs w:val="28"/>
        </w:rPr>
        <w:t xml:space="preserve"> </w:t>
      </w:r>
      <w:r>
        <w:rPr>
          <w:rFonts w:ascii="Aptos" w:hAnsi="Aptos"/>
          <w:b/>
          <w:bCs/>
          <w:sz w:val="28"/>
          <w:szCs w:val="28"/>
        </w:rPr>
        <w:t xml:space="preserve">(ΕΣΠΑ 2014-2020) </w:t>
      </w:r>
      <w:r w:rsidRPr="00BD2354">
        <w:rPr>
          <w:rFonts w:ascii="Aptos" w:hAnsi="Aptos"/>
          <w:b/>
          <w:bCs/>
          <w:sz w:val="28"/>
          <w:szCs w:val="28"/>
        </w:rPr>
        <w:t xml:space="preserve">: </w:t>
      </w:r>
      <w:r w:rsidRPr="00BD2354">
        <w:rPr>
          <w:rFonts w:ascii="Aptos" w:hAnsi="Aptos"/>
          <w:b/>
          <w:bCs/>
          <w:sz w:val="28"/>
          <w:szCs w:val="28"/>
        </w:rPr>
        <w:t>5201693</w:t>
      </w:r>
    </w:p>
    <w:p w14:paraId="7C8DBD3D" w14:textId="60CEB828" w:rsidR="00A3776C" w:rsidRPr="00BD2354" w:rsidRDefault="00A3776C" w:rsidP="00BD2354">
      <w:pPr>
        <w:ind w:left="-284"/>
        <w:jc w:val="both"/>
        <w:rPr>
          <w:rFonts w:ascii="Aptos" w:hAnsi="Aptos"/>
        </w:rPr>
      </w:pPr>
      <w:r w:rsidRPr="00BD2354">
        <w:rPr>
          <w:rFonts w:ascii="Aptos" w:hAnsi="Aptos"/>
        </w:rPr>
        <w:t xml:space="preserve">Η </w:t>
      </w:r>
      <w:r w:rsidR="00BD2354">
        <w:rPr>
          <w:rFonts w:ascii="Aptos" w:hAnsi="Aptos"/>
        </w:rPr>
        <w:t xml:space="preserve">υλοποιούμενη </w:t>
      </w:r>
      <w:r w:rsidRPr="00BD2354">
        <w:rPr>
          <w:rFonts w:ascii="Aptos" w:hAnsi="Aptos"/>
        </w:rPr>
        <w:t xml:space="preserve">πράξη </w:t>
      </w:r>
      <w:r w:rsidR="00BD2354" w:rsidRPr="00BD2354">
        <w:rPr>
          <w:rFonts w:ascii="Aptos" w:hAnsi="Aptos"/>
        </w:rPr>
        <w:t xml:space="preserve">Χρηματοδοτείται από το ΕΠΙΧΕΙΡΗΣΙΑΚΟ ΠΡΟΓΡΑΜΜΑ «ΥΠΟΔΟΜΈΣ ΜΕΤΑΦΟΡΏΝ, ΠΕΡΙΒΆΛΛΟΝ ΚΑΙ ΑΕΙΦΌΡΟΣ ΑΝΆΠΤΥΞΗ», ΑΞΟΝΑ ΠΡΟΤΕΡΑΙΟΤΗΤΑΣ 14 «ΔΙΑΤΗΡΗΣΗ ΚΑΙ ΠΡΟΣΤΑΣΙΑ ΤΟΥ ΠΕΡΙΒΑΛΛΟΝΤΟΣ – ΠΡΟΑΓΩΓΗ, ΤΗΣ ΑΠΟΔΟΤΙΚΗΣ ΧΡΗΣΗΣ ΤΩΝ ΠΟΡΩΝ (ΤΣ)», Χρηματοδότηση από το ΤΑΜΕΙΟ ΣΥΝΟΧΗΣ, ΜΕ ΤΙΤΛΟ «ΟΛΟΚΛΗΡΩΜΕΝΗ ΔΙΑΧΕΙΡΙΣΗ ΔΙΚΤΥΩΝ ΥΔΡΕΥΣΗΣ» </w:t>
      </w:r>
      <w:r w:rsidR="00BD2354">
        <w:rPr>
          <w:rFonts w:ascii="Aptos" w:hAnsi="Aptos"/>
        </w:rPr>
        <w:t xml:space="preserve">και </w:t>
      </w:r>
      <w:r w:rsidRPr="00BD2354">
        <w:rPr>
          <w:rFonts w:ascii="Aptos" w:hAnsi="Aptos"/>
        </w:rPr>
        <w:t xml:space="preserve">αφορά στην εγκατάσταση συστημάτων παρακολούθησης των υδροληψιών της ΔΕΥΑ ΙΩΑΝΝΙΝΩΝ τόσο σε επίπεδο εξωτερικού υδραγωγείου, (βασικές υδροληψίες) όσο και σε επίπεδο εσωτερικών δικτύων ύδρευσης με την εγκατάσταση σταθμών τηλεμετρίας στις ΔΕ Περάματος και Παμβώτιδας και  την εγκατάσταση συνολικά 11.900 έξυπνων υδρομετρητών οικιακής κατανάλωσης για την </w:t>
      </w:r>
      <w:proofErr w:type="spellStart"/>
      <w:r w:rsidRPr="00BD2354">
        <w:rPr>
          <w:rFonts w:ascii="Aptos" w:hAnsi="Aptos"/>
        </w:rPr>
        <w:t>τηλεπαρακολούθηση</w:t>
      </w:r>
      <w:proofErr w:type="spellEnd"/>
      <w:r w:rsidRPr="00BD2354">
        <w:rPr>
          <w:rFonts w:ascii="Aptos" w:hAnsi="Aptos"/>
        </w:rPr>
        <w:t xml:space="preserve"> ποσοτικών στοιχείων κατανάλωσης τμήματος του εσωτερικού δικτύου ύδρευσης της πόλης των Ιωαννίνων. </w:t>
      </w:r>
      <w:r w:rsidR="00BD2354">
        <w:rPr>
          <w:rFonts w:ascii="Aptos" w:hAnsi="Aptos"/>
        </w:rPr>
        <w:t xml:space="preserve"> Η πράξη υλοποιείται σε δύο </w:t>
      </w:r>
      <w:proofErr w:type="spellStart"/>
      <w:r w:rsidR="00BD2354">
        <w:rPr>
          <w:rFonts w:ascii="Aptos" w:hAnsi="Aptos"/>
        </w:rPr>
        <w:t>υποέργα</w:t>
      </w:r>
      <w:proofErr w:type="spellEnd"/>
      <w:r w:rsidR="00BD2354">
        <w:rPr>
          <w:rFonts w:ascii="Aptos" w:hAnsi="Aptos"/>
        </w:rPr>
        <w:t>, ως εξής</w:t>
      </w:r>
      <w:r w:rsidRPr="00BD2354">
        <w:rPr>
          <w:rFonts w:ascii="Aptos" w:hAnsi="Aptos"/>
        </w:rPr>
        <w:t xml:space="preserve"> :</w:t>
      </w:r>
    </w:p>
    <w:p w14:paraId="1278FD9F" w14:textId="77777777" w:rsidR="00B05CF8" w:rsidRPr="00BD2354" w:rsidRDefault="00A3776C" w:rsidP="00BD2354">
      <w:pPr>
        <w:ind w:left="-284"/>
        <w:jc w:val="both"/>
        <w:rPr>
          <w:rFonts w:ascii="Aptos" w:hAnsi="Aptos"/>
          <w:b/>
          <w:bCs/>
        </w:rPr>
      </w:pPr>
      <w:proofErr w:type="spellStart"/>
      <w:r w:rsidRPr="00BD2354">
        <w:rPr>
          <w:rFonts w:ascii="Aptos" w:hAnsi="Aptos"/>
          <w:b/>
          <w:bCs/>
        </w:rPr>
        <w:t>Υποέργο</w:t>
      </w:r>
      <w:proofErr w:type="spellEnd"/>
      <w:r w:rsidRPr="00BD2354">
        <w:rPr>
          <w:rFonts w:ascii="Aptos" w:hAnsi="Aptos"/>
          <w:b/>
          <w:bCs/>
        </w:rPr>
        <w:t xml:space="preserve"> 1: </w:t>
      </w:r>
      <w:r w:rsidR="00B05CF8" w:rsidRPr="00BD2354">
        <w:rPr>
          <w:rFonts w:ascii="Aptos" w:hAnsi="Aptos"/>
          <w:b/>
          <w:bCs/>
        </w:rPr>
        <w:t>ΠΡΟΜΗΘΕΙΑ ΚΑΙ ΕΓΚΑΤΑΣΤΑΣΗ ΑΥΤΟΜΑΤΟΥ ΣΥΣΤΗΜΑΤΟΣ ΠΑΡΑΚΟΛΟΥΘΗΣΗΣ</w:t>
      </w:r>
    </w:p>
    <w:p w14:paraId="7AAB2023" w14:textId="77777777" w:rsidR="00B05CF8" w:rsidRPr="00BD2354" w:rsidRDefault="00B05CF8" w:rsidP="00BD2354">
      <w:pPr>
        <w:ind w:left="-284"/>
        <w:jc w:val="both"/>
        <w:rPr>
          <w:rFonts w:ascii="Aptos" w:hAnsi="Aptos"/>
          <w:b/>
          <w:bCs/>
        </w:rPr>
      </w:pPr>
      <w:r w:rsidRPr="00BD2354">
        <w:rPr>
          <w:rFonts w:ascii="Aptos" w:hAnsi="Aptos"/>
          <w:b/>
          <w:bCs/>
        </w:rPr>
        <w:t>ΠΑΡΟΧΩΝ ΥΔΡΟΛΗΨΙΩΝ ΕΞΩΤΕΡΙΚΟΥ ΥΔΡΑΓΩΓΕΙΟΥ – ΔΕΥΑ ΙΩΑΝΝΙΝΩΝ</w:t>
      </w:r>
    </w:p>
    <w:p w14:paraId="2EDA3453" w14:textId="11FCE8F6" w:rsidR="00A3776C" w:rsidRPr="00BD2354" w:rsidRDefault="00A3776C" w:rsidP="00BD2354">
      <w:pPr>
        <w:ind w:left="-284"/>
        <w:jc w:val="both"/>
        <w:rPr>
          <w:rFonts w:ascii="Aptos" w:hAnsi="Aptos"/>
        </w:rPr>
      </w:pPr>
      <w:r w:rsidRPr="00BD2354">
        <w:rPr>
          <w:rFonts w:ascii="Aptos" w:hAnsi="Aptos"/>
        </w:rPr>
        <w:t xml:space="preserve">- Προμήθεια, εγκατάσταση και θέση σε λειτουργία Είκοσι εννέα (29) Τοπικών Σταθμών Ελέγχου (ΤΣΕ) στις υποδομές τροφοδοσίας του εξωτερικού δικτύου ύδρευσης με σκοπό τον </w:t>
      </w:r>
      <w:proofErr w:type="spellStart"/>
      <w:r w:rsidRPr="00BD2354">
        <w:rPr>
          <w:rFonts w:ascii="Aptos" w:hAnsi="Aptos"/>
        </w:rPr>
        <w:t>τηλεέλεγχο</w:t>
      </w:r>
      <w:proofErr w:type="spellEnd"/>
      <w:r w:rsidRPr="00BD2354">
        <w:rPr>
          <w:rFonts w:ascii="Aptos" w:hAnsi="Aptos"/>
        </w:rPr>
        <w:t xml:space="preserve"> - τηλεχειρισμό όλων των κρίσιμων παραμέτρων (παροχή, πίεση, στάθμη, ποιοτικά χαρακτηριστικά, λειτουργία αντλιών, χλωρίωση πόσιμου νερού και άλλες κρίσιμες παραμέτρους), τη βελτίωση της ενεργειακής απόδοσης και τη μείωση του αποτυπώματος άνθρακα του δικτύου ύδρευσης,</w:t>
      </w:r>
    </w:p>
    <w:p w14:paraId="04162E85" w14:textId="77777777" w:rsidR="00A3776C" w:rsidRPr="00BD2354" w:rsidRDefault="00A3776C" w:rsidP="00BD2354">
      <w:pPr>
        <w:ind w:left="-284"/>
        <w:jc w:val="both"/>
        <w:rPr>
          <w:rFonts w:ascii="Aptos" w:hAnsi="Aptos"/>
        </w:rPr>
      </w:pPr>
      <w:r w:rsidRPr="00BD2354">
        <w:rPr>
          <w:rFonts w:ascii="Aptos" w:hAnsi="Aptos"/>
        </w:rPr>
        <w:t>- Προμήθεια, εγκατάσταση και θέση σε λειτουργία δεκαπέντε (15) Τοπικών Σταθμών Ελέγχου Παροχής – Πίεσης (ΤΣΕΠΠ) σε κόμβους των εσωτερικών δικτύων ύδρευσης, με σκοπό την τηλεμετρία των κρίσιμων παραμέτρων (παροχή, πίεσης), τη μείωση των διαρροών και την εξασφάλιση της ποσοτικής επάρκειας του δικτύου ύδρευσης,</w:t>
      </w:r>
    </w:p>
    <w:p w14:paraId="62035A0A" w14:textId="77777777" w:rsidR="00A3776C" w:rsidRPr="00BD2354" w:rsidRDefault="00A3776C" w:rsidP="00BD2354">
      <w:pPr>
        <w:ind w:left="-284"/>
        <w:jc w:val="both"/>
        <w:rPr>
          <w:rFonts w:ascii="Aptos" w:hAnsi="Aptos"/>
        </w:rPr>
      </w:pPr>
      <w:r w:rsidRPr="00BD2354">
        <w:rPr>
          <w:rFonts w:ascii="Aptos" w:hAnsi="Aptos"/>
        </w:rPr>
        <w:t xml:space="preserve">- Προμήθεια, εγκατάσταση και θέση σε λειτουργία δύο (2) Τοπικών Σταθμών Ελέγχου Πίεσης (ΤΣΕΠ) σε κρίσιμα σημεία των εσωτερικών δικτύων ύδρευσης, με σκοπό την τηλεμετρία της </w:t>
      </w:r>
      <w:r w:rsidRPr="00BD2354">
        <w:rPr>
          <w:rFonts w:ascii="Aptos" w:hAnsi="Aptos"/>
        </w:rPr>
        <w:lastRenderedPageBreak/>
        <w:t xml:space="preserve">πίεσης, για τον εντοπισμό διαρροών και την εξασφάλιση της ποσοτικής επάρκειας του δικτύου ύδρευσης, </w:t>
      </w:r>
    </w:p>
    <w:p w14:paraId="35A2148A" w14:textId="77777777" w:rsidR="00A3776C" w:rsidRPr="00BD2354" w:rsidRDefault="00A3776C" w:rsidP="00BD2354">
      <w:pPr>
        <w:ind w:left="-284"/>
        <w:jc w:val="both"/>
        <w:rPr>
          <w:rFonts w:ascii="Aptos" w:hAnsi="Aptos"/>
        </w:rPr>
      </w:pPr>
      <w:r w:rsidRPr="00BD2354">
        <w:rPr>
          <w:rFonts w:ascii="Aptos" w:hAnsi="Aptos"/>
        </w:rPr>
        <w:t>-  Προμήθεια, εγκατάσταση και θέση σε λειτουργία πέντε (5) Τοπικών Σταθμών Ελέγχου Ποιότητας Νερού (ΤΣΕΠΝ) σε σημεία ιδιαίτερου υγειονομικού ενδιαφέροντος των εσωτερικών δικτύων ύδρευσης, με σκοπό την τηλεμετρία των κρίσιμων παραμέτρων (ποιότητα νερού, πίεσης και θερμοκρασίας), τη μείωση των διαρροών και την εξασφάλιση της ποιοτικής και ποσοτικής επάρκειας του δικτύου ύδρευσης,</w:t>
      </w:r>
    </w:p>
    <w:p w14:paraId="25FAC2FB" w14:textId="77777777" w:rsidR="00A3776C" w:rsidRPr="00BD2354" w:rsidRDefault="00A3776C" w:rsidP="00BD2354">
      <w:pPr>
        <w:ind w:left="-284"/>
        <w:jc w:val="both"/>
        <w:rPr>
          <w:rFonts w:ascii="Aptos" w:hAnsi="Aptos"/>
        </w:rPr>
      </w:pPr>
      <w:r w:rsidRPr="00BD2354">
        <w:rPr>
          <w:rFonts w:ascii="Aptos" w:hAnsi="Aptos"/>
        </w:rPr>
        <w:t>- Προμήθεια, Φορητών Σταθμών Ελέγχου (ΦΣΕ) αποτελούμενων από εξοπλισμό εντοπισμού διαρροών και διάταξη ελέγχου καταλληλόλητας πόσιμου νερού, με σκοπό τη συνεχή παρακολούθηση των δικτύων και τον άμεσο εντοπισμό διαρροών ή φαινομένων υπέρβασης των επιτρεπτών ποιοτικών παραμέτρων,</w:t>
      </w:r>
    </w:p>
    <w:p w14:paraId="2016F0A6" w14:textId="77777777" w:rsidR="00A3776C" w:rsidRPr="00BD2354" w:rsidRDefault="00A3776C" w:rsidP="00BD2354">
      <w:pPr>
        <w:ind w:left="-284"/>
        <w:jc w:val="both"/>
        <w:rPr>
          <w:rFonts w:ascii="Aptos" w:hAnsi="Aptos"/>
        </w:rPr>
      </w:pPr>
      <w:r w:rsidRPr="00BD2354">
        <w:rPr>
          <w:rFonts w:ascii="Aptos" w:hAnsi="Aptos"/>
        </w:rPr>
        <w:t>- Προμήθεια, εγκατάσταση και θέση σε λειτουργία λογισμικών Κεντρικού Σταθμού Ελέγχου (ΚΣΕ) με σκοπό την ένταξη των νέων σταθμών στα υφιστάμενα συστήματα και την ενιαία παρακολούθηση όλων των υποδομών σε ενοποιημένη βάση και</w:t>
      </w:r>
    </w:p>
    <w:p w14:paraId="2B1AE580" w14:textId="77777777" w:rsidR="00A3776C" w:rsidRPr="00BD2354" w:rsidRDefault="00A3776C" w:rsidP="00BD2354">
      <w:pPr>
        <w:ind w:left="-284"/>
        <w:jc w:val="both"/>
        <w:rPr>
          <w:rFonts w:ascii="Aptos" w:hAnsi="Aptos"/>
        </w:rPr>
      </w:pPr>
      <w:r w:rsidRPr="00BD2354">
        <w:rPr>
          <w:rFonts w:ascii="Aptos" w:hAnsi="Aptos"/>
        </w:rPr>
        <w:t>- Παροχή υπηρεσιών παραμετροποίησης λογισμικών, ανίχνευσης δικτύων, δημιουργία μαθηματικού μοντέλου δικτύων, δοκιμαστική λειτουργία (1 μήνα), εκπαίδευση και παράδοση τεκμηρίωσης.</w:t>
      </w:r>
    </w:p>
    <w:p w14:paraId="1C550445" w14:textId="42EF18DE" w:rsidR="00A3776C" w:rsidRDefault="00A3776C" w:rsidP="00BD2354">
      <w:pPr>
        <w:ind w:left="-284"/>
        <w:jc w:val="both"/>
        <w:rPr>
          <w:rFonts w:ascii="Aptos" w:eastAsia="ArialMT" w:hAnsi="Aptos" w:cs="ArialMT"/>
          <w:b/>
          <w:bCs/>
          <w:kern w:val="0"/>
        </w:rPr>
      </w:pPr>
      <w:r w:rsidRPr="00BD2354">
        <w:rPr>
          <w:rFonts w:ascii="Aptos" w:hAnsi="Aptos"/>
          <w:b/>
          <w:bCs/>
        </w:rPr>
        <w:t>Προϋπολογισμός Μελέτης:</w:t>
      </w:r>
      <w:r w:rsidRPr="00BD2354">
        <w:rPr>
          <w:rFonts w:ascii="Aptos" w:hAnsi="Aptos"/>
        </w:rPr>
        <w:t xml:space="preserve"> </w:t>
      </w:r>
      <w:r w:rsidRPr="00BD2354">
        <w:rPr>
          <w:rFonts w:ascii="Aptos" w:hAnsi="Aptos" w:cs="Arial"/>
          <w:b/>
          <w:bCs/>
          <w:kern w:val="0"/>
        </w:rPr>
        <w:t xml:space="preserve">4.116.589,20 </w:t>
      </w:r>
      <w:r w:rsidRPr="00BD2354">
        <w:rPr>
          <w:rFonts w:ascii="Aptos" w:hAnsi="Aptos" w:cs="Arial-BoldMT"/>
          <w:b/>
          <w:bCs/>
          <w:kern w:val="0"/>
        </w:rPr>
        <w:t xml:space="preserve">€ με ΦΠΑ (δαπάνη ΦΠΑ: </w:t>
      </w:r>
      <w:r w:rsidRPr="00BD2354">
        <w:rPr>
          <w:rFonts w:ascii="Aptos" w:hAnsi="Aptos" w:cs="Arial"/>
          <w:b/>
          <w:bCs/>
          <w:kern w:val="0"/>
        </w:rPr>
        <w:t xml:space="preserve">944.520,00 </w:t>
      </w:r>
      <w:r w:rsidRPr="00BD2354">
        <w:rPr>
          <w:rFonts w:ascii="Aptos" w:eastAsia="ArialMT" w:hAnsi="Aptos" w:cs="ArialMT"/>
          <w:b/>
          <w:bCs/>
          <w:kern w:val="0"/>
        </w:rPr>
        <w:t>€)</w:t>
      </w:r>
    </w:p>
    <w:p w14:paraId="0EE46363" w14:textId="1FA3C9D7" w:rsidR="00A3776C" w:rsidRPr="00BD2354" w:rsidRDefault="00A3776C" w:rsidP="00BD2354">
      <w:pPr>
        <w:ind w:left="-284"/>
        <w:jc w:val="both"/>
        <w:rPr>
          <w:rFonts w:ascii="Aptos" w:hAnsi="Aptos"/>
          <w:b/>
          <w:bCs/>
        </w:rPr>
      </w:pPr>
      <w:proofErr w:type="spellStart"/>
      <w:r w:rsidRPr="00BD2354">
        <w:rPr>
          <w:rFonts w:ascii="Aptos" w:hAnsi="Aptos"/>
          <w:b/>
          <w:bCs/>
        </w:rPr>
        <w:t>Υποέργο</w:t>
      </w:r>
      <w:proofErr w:type="spellEnd"/>
      <w:r w:rsidRPr="00BD2354">
        <w:rPr>
          <w:rFonts w:ascii="Aptos" w:hAnsi="Aptos"/>
          <w:b/>
          <w:bCs/>
        </w:rPr>
        <w:t xml:space="preserve"> 2: «ΠΡΟΜΗΘΕΙΑ ΚΑΙ ΕΓΚΑΤΑΣΤΑΣΗ ΟΛΟΚΛΗΡΩΜΕΝΟΥ ΣΥΣΤΗΜΑΤΟΣ ΠΑΡΑΚΟΛΟΥΘΗΣΗΣ ΕΣΩΤΕΡΙΚΩΝ ΔΙΚΤΥΩΝ ΥΔΡΕΥΣΗΣ – ΔΕΥΑ ΙΩΑΝΝΙΝΩΝ»</w:t>
      </w:r>
    </w:p>
    <w:p w14:paraId="42610FB4" w14:textId="0D65A129" w:rsidR="00A3776C" w:rsidRPr="00BD2354" w:rsidRDefault="00A3776C" w:rsidP="00BD2354">
      <w:pPr>
        <w:ind w:left="-284"/>
        <w:jc w:val="both"/>
        <w:rPr>
          <w:rFonts w:ascii="Aptos" w:hAnsi="Aptos"/>
        </w:rPr>
      </w:pPr>
      <w:r w:rsidRPr="00BD2354">
        <w:rPr>
          <w:rFonts w:ascii="Aptos" w:hAnsi="Aptos"/>
        </w:rPr>
        <w:t xml:space="preserve">- Προμήθεια, εγκατάσταση και θέση σε λειτουργία ασύρματου συστήματος αυτόματης τηλεμετρικής καταμέτρησης υδρομετρητών (A.M.R.), 11.900 υδρομετρητές ½’’, DN15, με ενσωματωμένο ασύρματο μεταδότη σήματος. </w:t>
      </w:r>
    </w:p>
    <w:p w14:paraId="20A449C1" w14:textId="77777777" w:rsidR="00A3776C" w:rsidRPr="00BD2354" w:rsidRDefault="00A3776C" w:rsidP="00BD2354">
      <w:pPr>
        <w:ind w:left="-284"/>
        <w:jc w:val="both"/>
        <w:rPr>
          <w:rFonts w:ascii="Aptos" w:hAnsi="Aptos"/>
        </w:rPr>
      </w:pPr>
      <w:r w:rsidRPr="00BD2354">
        <w:rPr>
          <w:rFonts w:ascii="Aptos" w:hAnsi="Aptos"/>
        </w:rPr>
        <w:t>- Σύστημα σταθερού ασύρματου δικτύου (</w:t>
      </w:r>
      <w:proofErr w:type="spellStart"/>
      <w:r w:rsidRPr="00BD2354">
        <w:rPr>
          <w:rFonts w:ascii="Aptos" w:hAnsi="Aptos"/>
        </w:rPr>
        <w:t>fixed</w:t>
      </w:r>
      <w:proofErr w:type="spellEnd"/>
      <w:r w:rsidRPr="00BD2354">
        <w:rPr>
          <w:rFonts w:ascii="Aptos" w:hAnsi="Aptos"/>
        </w:rPr>
        <w:t xml:space="preserve"> </w:t>
      </w:r>
      <w:proofErr w:type="spellStart"/>
      <w:r w:rsidRPr="00BD2354">
        <w:rPr>
          <w:rFonts w:ascii="Aptos" w:hAnsi="Aptos"/>
        </w:rPr>
        <w:t>network</w:t>
      </w:r>
      <w:proofErr w:type="spellEnd"/>
      <w:r w:rsidRPr="00BD2354">
        <w:rPr>
          <w:rFonts w:ascii="Aptos" w:hAnsi="Aptos"/>
        </w:rPr>
        <w:t>) αποτελούμενο από μονάδες επικοινωνίας (</w:t>
      </w:r>
      <w:proofErr w:type="spellStart"/>
      <w:r w:rsidRPr="00BD2354">
        <w:rPr>
          <w:rFonts w:ascii="Aptos" w:hAnsi="Aptos"/>
        </w:rPr>
        <w:t>gateways</w:t>
      </w:r>
      <w:proofErr w:type="spellEnd"/>
      <w:r w:rsidRPr="00BD2354">
        <w:rPr>
          <w:rFonts w:ascii="Aptos" w:hAnsi="Aptos"/>
        </w:rPr>
        <w:t>), κεραίες, ιστούς, κλπ. για την ασύρματη μεταφορά των δεδομένων των υδρομετρητών στον Κεντρικό Σταθμό Ελέγχου.</w:t>
      </w:r>
    </w:p>
    <w:p w14:paraId="59AE3107" w14:textId="77777777" w:rsidR="00A3776C" w:rsidRPr="00BD2354" w:rsidRDefault="00A3776C" w:rsidP="00BD2354">
      <w:pPr>
        <w:ind w:left="-284"/>
        <w:jc w:val="both"/>
        <w:rPr>
          <w:rFonts w:ascii="Aptos" w:hAnsi="Aptos"/>
        </w:rPr>
      </w:pPr>
      <w:r w:rsidRPr="00BD2354">
        <w:rPr>
          <w:rFonts w:ascii="Aptos" w:hAnsi="Aptos"/>
        </w:rPr>
        <w:t>- Ειδικό λογισμικό διαχείρισης επικοινωνίας (</w:t>
      </w:r>
      <w:proofErr w:type="spellStart"/>
      <w:r w:rsidRPr="00BD2354">
        <w:rPr>
          <w:rFonts w:ascii="Aptos" w:hAnsi="Aptos"/>
        </w:rPr>
        <w:t>network</w:t>
      </w:r>
      <w:proofErr w:type="spellEnd"/>
      <w:r w:rsidRPr="00BD2354">
        <w:rPr>
          <w:rFonts w:ascii="Aptos" w:hAnsi="Aptos"/>
        </w:rPr>
        <w:t xml:space="preserve"> </w:t>
      </w:r>
      <w:proofErr w:type="spellStart"/>
      <w:r w:rsidRPr="00BD2354">
        <w:rPr>
          <w:rFonts w:ascii="Aptos" w:hAnsi="Aptos"/>
        </w:rPr>
        <w:t>server</w:t>
      </w:r>
      <w:proofErr w:type="spellEnd"/>
      <w:r w:rsidRPr="00BD2354">
        <w:rPr>
          <w:rFonts w:ascii="Aptos" w:hAnsi="Aptos"/>
        </w:rPr>
        <w:t xml:space="preserve">). </w:t>
      </w:r>
    </w:p>
    <w:p w14:paraId="0A9BB110" w14:textId="77777777" w:rsidR="00A3776C" w:rsidRPr="00BD2354" w:rsidRDefault="00A3776C" w:rsidP="00BD2354">
      <w:pPr>
        <w:ind w:left="-284"/>
        <w:jc w:val="both"/>
        <w:rPr>
          <w:rFonts w:ascii="Aptos" w:hAnsi="Aptos"/>
        </w:rPr>
      </w:pPr>
      <w:r w:rsidRPr="00BD2354">
        <w:rPr>
          <w:rFonts w:ascii="Aptos" w:hAnsi="Aptos"/>
        </w:rPr>
        <w:t>- Ειδικό λογισμικό επεξεργασίας και εξαγωγής δεδομένων (</w:t>
      </w:r>
      <w:proofErr w:type="spellStart"/>
      <w:r w:rsidRPr="00BD2354">
        <w:rPr>
          <w:rFonts w:ascii="Aptos" w:hAnsi="Aptos"/>
        </w:rPr>
        <w:t>application</w:t>
      </w:r>
      <w:proofErr w:type="spellEnd"/>
      <w:r w:rsidRPr="00BD2354">
        <w:rPr>
          <w:rFonts w:ascii="Aptos" w:hAnsi="Aptos"/>
        </w:rPr>
        <w:t xml:space="preserve"> </w:t>
      </w:r>
      <w:proofErr w:type="spellStart"/>
      <w:r w:rsidRPr="00BD2354">
        <w:rPr>
          <w:rFonts w:ascii="Aptos" w:hAnsi="Aptos"/>
        </w:rPr>
        <w:t>server</w:t>
      </w:r>
      <w:proofErr w:type="spellEnd"/>
      <w:r w:rsidRPr="00BD2354">
        <w:rPr>
          <w:rFonts w:ascii="Aptos" w:hAnsi="Aptos"/>
        </w:rPr>
        <w:t xml:space="preserve">) και μεταφοράς </w:t>
      </w:r>
      <w:proofErr w:type="spellStart"/>
      <w:r w:rsidRPr="00BD2354">
        <w:rPr>
          <w:rFonts w:ascii="Aptos" w:hAnsi="Aptos"/>
        </w:rPr>
        <w:t>δεδομενών</w:t>
      </w:r>
      <w:proofErr w:type="spellEnd"/>
      <w:r w:rsidRPr="00BD2354">
        <w:rPr>
          <w:rFonts w:ascii="Aptos" w:hAnsi="Aptos"/>
        </w:rPr>
        <w:t xml:space="preserve"> του λογισμικού χρέωσης. </w:t>
      </w:r>
    </w:p>
    <w:p w14:paraId="11E46C49" w14:textId="77777777" w:rsidR="00A3776C" w:rsidRPr="00BD2354" w:rsidRDefault="00A3776C" w:rsidP="00BD2354">
      <w:pPr>
        <w:ind w:left="-284"/>
        <w:jc w:val="both"/>
        <w:rPr>
          <w:rFonts w:ascii="Aptos" w:hAnsi="Aptos"/>
        </w:rPr>
      </w:pPr>
      <w:r w:rsidRPr="00BD2354">
        <w:rPr>
          <w:rFonts w:ascii="Aptos" w:hAnsi="Aptos"/>
        </w:rPr>
        <w:t>- Την Ανάπτυξη και Παραμετροποίηση των ανωτέρω Εφαρμογών και Θέση σε Λειτουργία του Συστήματος.</w:t>
      </w:r>
    </w:p>
    <w:p w14:paraId="031AEC36" w14:textId="77777777" w:rsidR="00A3776C" w:rsidRPr="00BD2354" w:rsidRDefault="00A3776C" w:rsidP="00BD2354">
      <w:pPr>
        <w:ind w:left="-284"/>
        <w:jc w:val="both"/>
        <w:rPr>
          <w:rFonts w:ascii="Aptos" w:hAnsi="Aptos"/>
        </w:rPr>
      </w:pPr>
      <w:r w:rsidRPr="00BD2354">
        <w:rPr>
          <w:rFonts w:ascii="Aptos" w:hAnsi="Aptos"/>
        </w:rPr>
        <w:t>- Δοκιμές ολοκλήρωσης των εργασιών και παράδοσης του συστήματος</w:t>
      </w:r>
    </w:p>
    <w:p w14:paraId="3AE4963B" w14:textId="77777777" w:rsidR="00A3776C" w:rsidRPr="00BD2354" w:rsidRDefault="00A3776C" w:rsidP="00BD2354">
      <w:pPr>
        <w:ind w:left="-284"/>
        <w:jc w:val="both"/>
        <w:rPr>
          <w:rFonts w:ascii="Aptos" w:hAnsi="Aptos"/>
        </w:rPr>
      </w:pPr>
      <w:r w:rsidRPr="00BD2354">
        <w:rPr>
          <w:rFonts w:ascii="Aptos" w:hAnsi="Aptos"/>
        </w:rPr>
        <w:t>- Παράδοση σχεδίων όλου του συστήματος υπό την μορφή φακέλου και ηλεκτρονικά</w:t>
      </w:r>
    </w:p>
    <w:p w14:paraId="6E641B44" w14:textId="77777777" w:rsidR="00A3776C" w:rsidRPr="00BD2354" w:rsidRDefault="00A3776C" w:rsidP="00BD2354">
      <w:pPr>
        <w:ind w:left="-284"/>
        <w:jc w:val="both"/>
        <w:rPr>
          <w:rFonts w:ascii="Aptos" w:hAnsi="Aptos"/>
        </w:rPr>
      </w:pPr>
      <w:r w:rsidRPr="00BD2354">
        <w:rPr>
          <w:rFonts w:ascii="Aptos" w:hAnsi="Aptos"/>
        </w:rPr>
        <w:t>-  Εκπαίδευση του προσωπικού της ΔΕΥΑΙ</w:t>
      </w:r>
    </w:p>
    <w:p w14:paraId="1176FBA3" w14:textId="77777777" w:rsidR="00A3776C" w:rsidRPr="00BD2354" w:rsidRDefault="00A3776C" w:rsidP="00BD2354">
      <w:pPr>
        <w:ind w:left="-284"/>
        <w:jc w:val="both"/>
        <w:rPr>
          <w:rFonts w:ascii="Aptos" w:hAnsi="Aptos"/>
        </w:rPr>
      </w:pPr>
      <w:r w:rsidRPr="00BD2354">
        <w:rPr>
          <w:rFonts w:ascii="Aptos" w:hAnsi="Aptos"/>
        </w:rPr>
        <w:t>-  Τεκμηρίωση με την παράδοση εγχειριδίων λειτουργίας και συντήρησης του συνόλου του εγκατεστημένου εξοπλισμού στην ελληνική ή αγγλική γλώσσα.</w:t>
      </w:r>
    </w:p>
    <w:p w14:paraId="1CA0607A" w14:textId="77777777" w:rsidR="00A3776C" w:rsidRPr="00BD2354" w:rsidRDefault="00A3776C" w:rsidP="00BD2354">
      <w:pPr>
        <w:ind w:left="-284"/>
        <w:jc w:val="both"/>
        <w:rPr>
          <w:rFonts w:ascii="Aptos" w:hAnsi="Aptos"/>
        </w:rPr>
      </w:pPr>
      <w:r w:rsidRPr="00BD2354">
        <w:rPr>
          <w:rFonts w:ascii="Aptos" w:hAnsi="Aptos"/>
        </w:rPr>
        <w:t>- Δοκιμαστική λειτουργία του συνολικού προσφερόμενου συστήματος (2 μήνες).</w:t>
      </w:r>
    </w:p>
    <w:p w14:paraId="4FA1EE01" w14:textId="77777777" w:rsidR="00A3776C" w:rsidRPr="00BD2354" w:rsidRDefault="00A3776C" w:rsidP="00BD2354">
      <w:pPr>
        <w:ind w:left="-284"/>
        <w:jc w:val="both"/>
        <w:rPr>
          <w:rFonts w:ascii="Aptos" w:hAnsi="Aptos"/>
        </w:rPr>
      </w:pPr>
      <w:r w:rsidRPr="00BD2354">
        <w:rPr>
          <w:rFonts w:ascii="Aptos" w:hAnsi="Aptos"/>
        </w:rPr>
        <w:t>- Εγγύηση καλής λειτουργίας τουλάχιστον ενός (1) έτους.</w:t>
      </w:r>
    </w:p>
    <w:p w14:paraId="423E8D7E" w14:textId="096EFF46" w:rsidR="00C2564C" w:rsidRPr="00BD2354" w:rsidRDefault="00A3776C" w:rsidP="00BD2354">
      <w:pPr>
        <w:ind w:left="-284"/>
        <w:jc w:val="both"/>
        <w:rPr>
          <w:rFonts w:ascii="Aptos" w:hAnsi="Aptos"/>
        </w:rPr>
      </w:pPr>
      <w:r w:rsidRPr="00BD2354">
        <w:rPr>
          <w:rFonts w:ascii="Aptos" w:hAnsi="Aptos"/>
          <w:b/>
          <w:bCs/>
        </w:rPr>
        <w:t>Προϋπολογισμός Μελέτης:</w:t>
      </w:r>
      <w:r w:rsidRPr="00BD2354">
        <w:rPr>
          <w:rFonts w:ascii="Aptos" w:hAnsi="Aptos"/>
        </w:rPr>
        <w:t xml:space="preserve"> </w:t>
      </w:r>
      <w:r w:rsidRPr="00BD2354">
        <w:rPr>
          <w:rFonts w:ascii="Aptos" w:hAnsi="Aptos" w:cs="Arial"/>
          <w:b/>
          <w:bCs/>
          <w:kern w:val="0"/>
        </w:rPr>
        <w:t xml:space="preserve">4.880.020,00 </w:t>
      </w:r>
      <w:r w:rsidRPr="00BD2354">
        <w:rPr>
          <w:rFonts w:ascii="Aptos" w:hAnsi="Aptos" w:cs="Arial-BoldMT"/>
          <w:b/>
          <w:bCs/>
          <w:kern w:val="0"/>
        </w:rPr>
        <w:t xml:space="preserve">€ με ΦΠΑ (δαπάνη ΦΠΑ: </w:t>
      </w:r>
      <w:r w:rsidRPr="00BD2354">
        <w:rPr>
          <w:rFonts w:ascii="Aptos" w:hAnsi="Aptos" w:cs="Arial"/>
          <w:b/>
          <w:bCs/>
          <w:kern w:val="0"/>
        </w:rPr>
        <w:t xml:space="preserve">944.520,00 </w:t>
      </w:r>
      <w:r w:rsidRPr="00BD2354">
        <w:rPr>
          <w:rFonts w:ascii="Aptos" w:eastAsia="ArialMT" w:hAnsi="Aptos" w:cs="ArialMT"/>
          <w:b/>
          <w:bCs/>
          <w:kern w:val="0"/>
        </w:rPr>
        <w:t>€)</w:t>
      </w:r>
    </w:p>
    <w:sectPr w:rsidR="00C2564C" w:rsidRPr="00BD2354" w:rsidSect="00BD2354">
      <w:pgSz w:w="11906" w:h="16838"/>
      <w:pgMar w:top="993" w:right="1274"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Arial-BoldMT">
    <w:altName w:val="Arial"/>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6C"/>
    <w:rsid w:val="000F206E"/>
    <w:rsid w:val="00101EBC"/>
    <w:rsid w:val="003B5303"/>
    <w:rsid w:val="00A3776C"/>
    <w:rsid w:val="00B05CF8"/>
    <w:rsid w:val="00B93970"/>
    <w:rsid w:val="00BD2354"/>
    <w:rsid w:val="00C256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3744"/>
  <w15:chartTrackingRefBased/>
  <w15:docId w15:val="{6902EA21-CCD4-43B3-81DB-9EED12C5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https://encrypted-tbn0.gstatic.com/images?q=tbn:ANd9GcQhn45uj12_b3mGDAQYDSTcgeI2K2udw1nf5QeLvrSA&amp;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4104</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Popi Sifakaki</dc:creator>
  <cp:keywords/>
  <dc:description/>
  <cp:lastModifiedBy>user</cp:lastModifiedBy>
  <cp:revision>2</cp:revision>
  <dcterms:created xsi:type="dcterms:W3CDTF">2025-12-01T17:21:00Z</dcterms:created>
  <dcterms:modified xsi:type="dcterms:W3CDTF">2025-12-01T17:21:00Z</dcterms:modified>
</cp:coreProperties>
</file>